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0A32" w14:textId="3775D7EA" w:rsidR="00453DE3" w:rsidRDefault="009A5FFE" w:rsidP="009A5FF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9A5FFE">
        <w:rPr>
          <w:rFonts w:ascii="Times New Roman" w:hAnsi="Times New Roman" w:cs="Times New Roman"/>
          <w:b/>
          <w:sz w:val="28"/>
        </w:rPr>
        <w:t>Ответственность за вандализм</w:t>
      </w:r>
    </w:p>
    <w:p w14:paraId="3EE8EB06" w14:textId="77777777" w:rsidR="009A5FFE" w:rsidRPr="009A5FFE" w:rsidRDefault="009A5FFE" w:rsidP="009A5FF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64ACC07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Согласно ч. 1 ст. 214 УК РФ за совершение вандализма, то есть осквернение зданий или иных сооружений, порчу имущества на общественном транспорте или в иных общественных местах, лицо подлежит привлечению к уголовной ответственности и ему может быть назначен один из следующих видов наказаний:</w:t>
      </w:r>
    </w:p>
    <w:p w14:paraId="3E820B00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штраф в размере до сорока тысяч рублей или в размере заработной платы или иного дохода осужденного за период до трех месяцев;</w:t>
      </w:r>
    </w:p>
    <w:p w14:paraId="1DECCC67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обязательные работы на срок до трехсот шестидесяти часов;</w:t>
      </w:r>
    </w:p>
    <w:p w14:paraId="206A573F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исправительные работы на срок до одного года;</w:t>
      </w:r>
    </w:p>
    <w:p w14:paraId="2AA1DED5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- арест на срок до трех месяцев.</w:t>
      </w:r>
    </w:p>
    <w:p w14:paraId="1EEE6E24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Под порчей имущества может пониматься (помимо его разрушения) нанесение надписей, рисунков. При этом последние не обязательно должны иметь нецензурный или неприличный характер.</w:t>
      </w:r>
    </w:p>
    <w:p w14:paraId="3C042FF9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Имуществом в общественном месте может быть игровое и спортивное оборудование на площадках, стены зданий, малые архитектурные формы (ограды, скульптуры, светильники, стенды для афиш и реклам, беседки, скамейки и т.д.).</w:t>
      </w:r>
    </w:p>
    <w:p w14:paraId="07B13595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Вандализм, совершенный группой лиц, либо по мотивам политической, расовой, национальной или религиозной ненависти или вражды либо по мотивам ненависти или вражды в отношении какой-нибудь социальной группы, может повлечь ограничение свободы, либо принудительные работы, либо лишение свободы на срок до 3 лет (соответственно).</w:t>
      </w:r>
    </w:p>
    <w:p w14:paraId="34614B9A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Необходимо учитывать, что уголовная ответственность за данное преступление наступает не с 16 лет, как предусмотрено общим правилом в силу ч. 1 ст. 19 УК РФ, а с 14 лет (как и по ряду других преступлений, указанных в ч. 2 ст. 19 УК РФ).</w:t>
      </w:r>
    </w:p>
    <w:p w14:paraId="139E2ECF" w14:textId="088D15CE" w:rsid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Однако, необходимо учитывать, что не достижение к моменту совершения указанного преступления возраста, с которого наступает уголовная ответственность, может в силу требований Федерального закона «Об основах системы профилактики безнадзорности и правонарушений несовершеннолетних» повлечь помещение несовершеннолетнего в специальное учебно-воспитательное учреждение закрытого типа.</w:t>
      </w:r>
    </w:p>
    <w:p w14:paraId="278A4466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C7A46BC" w14:textId="77777777" w:rsidR="009A5FFE" w:rsidRPr="009A5FFE" w:rsidRDefault="009A5FFE" w:rsidP="009A5FFE">
      <w:pPr>
        <w:pStyle w:val="a4"/>
        <w:jc w:val="both"/>
        <w:rPr>
          <w:rFonts w:ascii="Times New Roman" w:hAnsi="Times New Roman" w:cs="Times New Roman"/>
          <w:sz w:val="28"/>
        </w:rPr>
      </w:pPr>
      <w:r w:rsidRPr="009A5FFE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44E32169" w14:textId="77777777" w:rsidR="009A5FFE" w:rsidRDefault="009A5FFE"/>
    <w:sectPr w:rsidR="009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9"/>
    <w:rsid w:val="00453DE3"/>
    <w:rsid w:val="009A5FFE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111C"/>
  <w15:chartTrackingRefBased/>
  <w15:docId w15:val="{79A6D785-231E-40E9-86A5-0B502B49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A5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2023-12-19T11:43:00Z</dcterms:created>
  <dcterms:modified xsi:type="dcterms:W3CDTF">2023-12-19T11:43:00Z</dcterms:modified>
</cp:coreProperties>
</file>