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A" w:rsidRPr="001D165A" w:rsidRDefault="001D165A" w:rsidP="001D16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-17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               </w:t>
      </w:r>
      <w:r w:rsidR="00592E1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                                                               </w:t>
      </w:r>
      <w:r w:rsidR="0099406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 ОТЧЕТ</w:t>
      </w:r>
      <w:bookmarkStart w:id="0" w:name="_GoBack"/>
      <w:bookmarkEnd w:id="0"/>
      <w:r w:rsidRPr="001D165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1D165A" w:rsidRPr="001D165A" w:rsidRDefault="001D165A" w:rsidP="001D165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22" w:lineRule="exact"/>
        <w:ind w:left="-17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результатам внешней проверки годовой </w:t>
      </w:r>
      <w:r w:rsidRPr="001D165A">
        <w:rPr>
          <w:rFonts w:ascii="Times New Roman" w:eastAsia="Times New Roman" w:hAnsi="Times New Roman" w:cs="Times New Roman"/>
          <w:b/>
          <w:bCs/>
          <w:spacing w:val="1"/>
          <w:sz w:val="28"/>
          <w:szCs w:val="32"/>
          <w:lang w:eastAsia="ru-RU"/>
        </w:rPr>
        <w:t xml:space="preserve">бюджетной отчетности </w:t>
      </w:r>
      <w:r w:rsidRPr="001D165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администрации  </w:t>
      </w:r>
      <w:r w:rsidRPr="001D165A">
        <w:rPr>
          <w:rFonts w:ascii="Times New Roman" w:eastAsia="Times New Roman" w:hAnsi="Times New Roman" w:cs="Times New Roman"/>
          <w:b/>
          <w:spacing w:val="-1"/>
          <w:sz w:val="28"/>
          <w:szCs w:val="32"/>
          <w:lang w:eastAsia="ru-RU"/>
        </w:rPr>
        <w:t>муниципального образования Тепло-Огаревский район</w:t>
      </w:r>
      <w:r w:rsidR="006A0DC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за 2022</w:t>
      </w:r>
      <w:r w:rsidRPr="001D165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/бюджет муниципального образования рабочий поселок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Тепло-Огаревского района/</w:t>
      </w:r>
    </w:p>
    <w:p w:rsidR="001D165A" w:rsidRPr="001D165A" w:rsidRDefault="001D165A" w:rsidP="001D165A">
      <w:pPr>
        <w:widowControl w:val="0"/>
        <w:shd w:val="clear" w:color="auto" w:fill="FFFFFF"/>
        <w:tabs>
          <w:tab w:val="left" w:pos="7416"/>
        </w:tabs>
        <w:autoSpaceDE w:val="0"/>
        <w:autoSpaceDN w:val="0"/>
        <w:adjustRightInd w:val="0"/>
        <w:spacing w:before="317" w:after="0" w:line="240" w:lineRule="auto"/>
        <w:ind w:left="-17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D165A" w:rsidRPr="001D165A" w:rsidRDefault="001D165A" w:rsidP="001D165A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before="317" w:after="0" w:line="240" w:lineRule="auto"/>
        <w:ind w:left="-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1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1D1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 w:rsidRPr="001D1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еплое</w:t>
      </w:r>
      <w:proofErr w:type="spellEnd"/>
      <w:r w:rsidRPr="001D1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</w:t>
      </w:r>
      <w:r w:rsidR="00592E1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                 </w:t>
      </w:r>
      <w:r w:rsidR="008063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23</w:t>
      </w:r>
      <w:r w:rsidR="006A0DC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июня 2023</w:t>
      </w:r>
      <w:r w:rsidRPr="001D1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года                                                                                    </w:t>
      </w: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firstLine="7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165A" w:rsidRPr="001D165A" w:rsidRDefault="001D165A" w:rsidP="001D165A">
      <w:pPr>
        <w:widowControl w:val="0"/>
        <w:tabs>
          <w:tab w:val="left" w:pos="360"/>
          <w:tab w:val="left" w:pos="720"/>
          <w:tab w:val="left" w:pos="900"/>
          <w:tab w:val="left" w:pos="2552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со статьей 264.4 Бюджетного кодекса Российской Федераци</w:t>
      </w:r>
      <w:proofErr w:type="gramStart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End"/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- БК РФ), Положением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бюджетном процессе в муниципальном образовании Тепло-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Огаревский район, утвержденным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Собрания представителей МО Тепло-Огаревский район от 30.10.2009 №7-2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6A0DC8" w:rsidRP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 от 25.12.2019 №14-3, </w:t>
      </w:r>
      <w:r w:rsidR="006A0DC8" w:rsidRP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далее-Положение о бюджетном процессе МО)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  Положение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контрольно-счетной палате муниципального образования Тепло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>-Огаревский район, утвержденным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Собрания представителей МО Тепло-Огаревский район от 20.11.2012 №48-2</w:t>
      </w:r>
      <w:r w:rsidR="00704FA1"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>2 (</w:t>
      </w:r>
      <w:r w:rsidR="00DD517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от 29.09.2021 №44-6)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председателем контрольно-счетной палаты муниципального образования Тепло-Огаревский район Гришиной М.Д.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проведена внешняя проверка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1D165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бюджетной отчетности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образования рабочий поселок Теплое Тепло-Огаревского район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 муниципального образования Тепло-</w:t>
      </w:r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Огаревский район</w:t>
      </w:r>
    </w:p>
    <w:p w:rsidR="001D165A" w:rsidRPr="001D165A" w:rsidRDefault="001D165A" w:rsidP="001D165A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Цель проверки: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содержащейся в годовой бюджетной отчетности информации о бюджетной деятельности</w:t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165A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1D165A">
        <w:rPr>
          <w:rFonts w:ascii="Times New Roman" w:eastAsia="Times New Roman" w:hAnsi="Times New Roman" w:cs="Arial"/>
          <w:sz w:val="28"/>
          <w:szCs w:val="28"/>
          <w:lang w:eastAsia="ru-RU"/>
        </w:rPr>
        <w:t>проверка соблюдения единого порядка составления и представления бюджетной отчетности</w:t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подготовка заключения о внешней проверке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1D165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бюджетной отчетности главного распорядителя бюджетных средств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бюджета муниципального образования рабочий поселок Теплое Тепло-Огаревского района-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 муниципального образования Тепл</w:t>
      </w:r>
      <w:proofErr w:type="gramStart"/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Огаревский район</w:t>
      </w:r>
      <w:r w:rsidR="00353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2022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</w:p>
    <w:p w:rsidR="001D165A" w:rsidRPr="001D165A" w:rsidRDefault="001D165A" w:rsidP="001D165A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Предмет проверки: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годовая бюджетная отчетность и деятельность </w:t>
      </w:r>
      <w:r w:rsidRPr="001D165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главного распорядителя,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</w:t>
      </w:r>
      <w:r w:rsidR="0022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я рабочий поселок </w:t>
      </w:r>
      <w:proofErr w:type="gramStart"/>
      <w:r w:rsidR="0022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Теплое</w:t>
      </w:r>
      <w:proofErr w:type="gramEnd"/>
      <w:r w:rsidR="0022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216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Тепло-О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гаревского район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 муниципального образования Тепло-</w:t>
      </w:r>
      <w:r w:rsidR="00353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Огаревский район за 2022</w:t>
      </w:r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год</w:t>
      </w: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Объект проверки: 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 муниципального образования  Тепл</w:t>
      </w:r>
      <w:proofErr w:type="gramStart"/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Огаревский район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</w:p>
    <w:p w:rsid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-глава администрации </w:t>
      </w:r>
      <w:r w:rsidR="006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="006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Фитисов</w:t>
      </w:r>
      <w:proofErr w:type="spellEnd"/>
      <w:r w:rsidR="006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(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D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20.09.2022года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0DC8" w:rsidRPr="001D165A" w:rsidRDefault="006A0DC8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proofErr w:type="spellEnd"/>
      <w:r w:rsidR="005402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Попов 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 с 20.09.2022года);</w:t>
      </w:r>
    </w:p>
    <w:p w:rsid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13"/>
          <w:sz w:val="28"/>
          <w:szCs w:val="20"/>
          <w:lang w:eastAsia="ru-RU"/>
        </w:rPr>
        <w:t>-директор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казённого учреждения «Централизованная бухгалтерия администрации и муниципальных учреждений культуры муниципального образования Тепло-Огаревский район»</w:t>
      </w:r>
      <w:r w:rsidRPr="001D165A">
        <w:rPr>
          <w:rFonts w:ascii="Times New Roman" w:eastAsia="Times New Roman" w:hAnsi="Times New Roman" w:cs="Times New Roman"/>
          <w:color w:val="000000"/>
          <w:spacing w:val="13"/>
          <w:sz w:val="28"/>
          <w:szCs w:val="20"/>
          <w:lang w:eastAsia="ru-RU"/>
        </w:rPr>
        <w:t>– Никулина О.В.</w:t>
      </w:r>
      <w:r w:rsidR="006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</w:t>
      </w:r>
      <w:r w:rsidR="0035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октября</w:t>
      </w:r>
      <w:r w:rsidR="006A0DC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3E7D" w:rsidRDefault="00353E7D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«ЦБУ МО Тепло-Огаревский район»-</w:t>
      </w:r>
      <w:r w:rsidRPr="00353E7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О.В. (период с</w:t>
      </w:r>
      <w:r w:rsidRPr="0035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октября);</w:t>
      </w:r>
    </w:p>
    <w:p w:rsidR="006A0DC8" w:rsidRPr="001D165A" w:rsidRDefault="006A0DC8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7D" w:rsidRPr="0035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«ЦБУ МО Тепло-Огаревский район</w:t>
      </w:r>
      <w:r w:rsidR="0035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3E7D" w:rsidRPr="0035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–Диденко Е.Н. (период</w:t>
      </w:r>
      <w:r w:rsidR="0035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 результате проверки установлено следующее:</w:t>
      </w:r>
    </w:p>
    <w:p w:rsidR="001D165A" w:rsidRPr="001D165A" w:rsidRDefault="001D165A" w:rsidP="001D16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D165A" w:rsidRPr="001D165A" w:rsidRDefault="001D165A" w:rsidP="001D16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 образования Тепло-Огаревский район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  </w:t>
      </w:r>
      <w:r w:rsidRPr="001D165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действует на основании Устава муниципального образования Тепло-Огаревский район </w:t>
      </w:r>
      <w:r w:rsidRPr="001D165A">
        <w:rPr>
          <w:rFonts w:ascii="Times New Roman" w:eastAsia="Times New Roman" w:hAnsi="Times New Roman" w:cs="Tahoma"/>
          <w:sz w:val="28"/>
          <w:szCs w:val="19"/>
          <w:lang w:eastAsia="ru-RU"/>
        </w:rPr>
        <w:t xml:space="preserve"> и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об администрации муниципального образования Тепло-Огаревский район, утвержденного решением Собрания представителей муниципального образования Тепло-Огаревский район от 26.06.2012  №43-4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 об администрации муниципального образования Тепло-Огаревский район» (далее </w:t>
      </w:r>
      <w:proofErr w:type="gramStart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ействующее Положение). В соответствии с действующим Положением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исполнительно-распорядительным органом МСУ осуществляющим полномочия по решению вопросов местного значения и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области.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65A" w:rsidRPr="001D165A" w:rsidRDefault="001D165A" w:rsidP="001D16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Приложением № 4«Ведомственная структура расходов бюджета МО </w:t>
      </w:r>
      <w:r w:rsidR="00316C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рабочий поселок Теплое</w:t>
      </w:r>
      <w:r w:rsidR="002543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Тепло-Огаревского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25436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A0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2022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 к</w:t>
      </w:r>
      <w:r w:rsidR="004C2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решению Собрания депутатов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="0025436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рабочи</w:t>
      </w:r>
      <w:r w:rsidR="00316C7A">
        <w:rPr>
          <w:rFonts w:ascii="Times New Roman" w:eastAsia="Times New Roman" w:hAnsi="Times New Roman" w:cs="Times New Roman"/>
          <w:sz w:val="28"/>
          <w:szCs w:val="20"/>
          <w:lang w:eastAsia="ru-RU"/>
        </w:rPr>
        <w:t>й поселок Теплое Тепло-Огаревск</w:t>
      </w:r>
      <w:r w:rsidR="002543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  <w:r w:rsidR="0025436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5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A1"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   № 45-2«О внесении изменений и дополнений в решение Собрания депутатов муниципального образования рабочий поселок Теплое Тепло-Огаревского района от 24.12.2021 №35-1 «О  бюджете муниципального образования рабочий поселок Теплое Тепло-Огаревского района  на</w:t>
      </w:r>
      <w:proofErr w:type="gramEnd"/>
      <w:r w:rsidR="00704FA1"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4FA1"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2022год и на плановый период 2023и 2024годов»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(851 ГРБС)) являлась  одновременно и получателем и главным распорядителем бюджетных </w:t>
      </w:r>
      <w:r w:rsidR="00823A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средств, в том числе и для 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подведомственных получателей бюджетных средств.</w:t>
      </w:r>
      <w:proofErr w:type="gramEnd"/>
    </w:p>
    <w:p w:rsidR="001D165A" w:rsidRDefault="001D165A" w:rsidP="001D165A">
      <w:pPr>
        <w:autoSpaceDN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D1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Финансирование расходов Администрации МО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главного распорядителя бюджетных средств и подведомственных ей </w:t>
      </w:r>
      <w:r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получателей бюджетных средств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за счет средств бюджета муниципального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2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Теплое Тепло-Огаревского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разрезе следующих разделов и подразделов  функциональной классификации расходов бюджетов Российской Федерации:</w:t>
      </w:r>
    </w:p>
    <w:p w:rsidR="00704FA1" w:rsidRPr="00704FA1" w:rsidRDefault="00592E16" w:rsidP="00704FA1">
      <w:pPr>
        <w:tabs>
          <w:tab w:val="left" w:pos="720"/>
        </w:tabs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D165A" w:rsidRPr="001D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04FA1"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04FA1" w:rsidRPr="00704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аздел 01   «Общегосударственные вопросы»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Бюджетные ассигнования на функционирование органов исполнительной власти местного самоуправления первоначально запланированы в сумме 324,0тыс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с учетом внесенных изменений  и дополнений составили  163,4тыс..рублей и фактически исполнено 163,32325тыс.рублей (99,95% к уточненному плану).</w:t>
      </w:r>
    </w:p>
    <w:p w:rsidR="00704FA1" w:rsidRPr="00704FA1" w:rsidRDefault="00704FA1" w:rsidP="00704FA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Расходы по подразделам и сравнительные характеристики сложились следующим образом (Таблица 4)</w:t>
      </w:r>
    </w:p>
    <w:p w:rsidR="00704FA1" w:rsidRPr="00704FA1" w:rsidRDefault="00704FA1" w:rsidP="00704FA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4FA1" w:rsidRPr="00704FA1" w:rsidRDefault="00704FA1" w:rsidP="00704FA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4FA1" w:rsidRPr="00704FA1" w:rsidRDefault="00704FA1" w:rsidP="00704FA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704FA1" w:rsidRPr="00704FA1" w:rsidRDefault="00704FA1" w:rsidP="00704FA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</w:t>
      </w:r>
      <w:proofErr w:type="gram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ублей</w:t>
      </w:r>
      <w:proofErr w:type="spell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4613"/>
        <w:gridCol w:w="1276"/>
        <w:gridCol w:w="1701"/>
        <w:gridCol w:w="1134"/>
        <w:gridCol w:w="1701"/>
        <w:gridCol w:w="1417"/>
        <w:gridCol w:w="1276"/>
        <w:gridCol w:w="1276"/>
      </w:tblGrid>
      <w:tr w:rsidR="00704FA1" w:rsidRPr="00704FA1" w:rsidTr="00F035A7">
        <w:trPr>
          <w:trHeight w:val="345"/>
        </w:trPr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Исполнено </w:t>
            </w:r>
          </w:p>
          <w:p w:rsidR="00704FA1" w:rsidRPr="00704FA1" w:rsidRDefault="00704FA1" w:rsidP="00704F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2021 год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год</w:t>
            </w:r>
          </w:p>
        </w:tc>
      </w:tr>
      <w:tr w:rsidR="00704FA1" w:rsidRPr="00704FA1" w:rsidTr="00F035A7">
        <w:trPr>
          <w:cantSplit/>
          <w:trHeight w:val="787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24.12.2021 №35-1</w:t>
            </w:r>
          </w:p>
          <w:p w:rsidR="00704FA1" w:rsidRPr="00704FA1" w:rsidRDefault="00704FA1" w:rsidP="00704F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2022год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28.12.2022 №45-2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 2022год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 году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27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704FA1" w:rsidRPr="00704FA1" w:rsidTr="00F035A7">
        <w:trPr>
          <w:trHeight w:val="265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118,816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163,32325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137,5</w:t>
            </w:r>
          </w:p>
        </w:tc>
      </w:tr>
      <w:tr w:rsidR="00704FA1" w:rsidRPr="00704FA1" w:rsidTr="00F035A7">
        <w:trPr>
          <w:trHeight w:val="55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proofErr w:type="gramEnd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35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41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118,816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163,32325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137,5</w:t>
            </w:r>
          </w:p>
        </w:tc>
      </w:tr>
    </w:tbl>
    <w:p w:rsidR="00704FA1" w:rsidRPr="00704FA1" w:rsidRDefault="00704FA1" w:rsidP="00704FA1">
      <w:pPr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4FA1" w:rsidRPr="00704FA1" w:rsidRDefault="00704FA1" w:rsidP="00704FA1">
      <w:pPr>
        <w:spacing w:after="0" w:line="240" w:lineRule="atLeast"/>
        <w:ind w:left="-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К 2021году бюджетные ассигнования увеличились на 44,584тыс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 (решение представительного органа от 28.12.2022  №45-2) или на 37,5%. Фактическое исполнение к 2021году составило 137,5%.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Данный раздел представлен   подразделом: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- 0113  </w:t>
      </w:r>
      <w:r w:rsidRPr="00704FA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«Другие общегосударственные вопросы»</w:t>
      </w: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реализацией непрограммных мероприятий по оказанию поддержки сельским старостам и руководителям ТОС в сумме 48,0тыс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 и  непрограммными расходами по закупке товаров, </w:t>
      </w: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работ и услуг для муниципальных нужд в сумме 104,5тыс.рублей и расходами по уплате налогов, сборов в сумме 10,8тыс.рублей.</w:t>
      </w:r>
    </w:p>
    <w:p w:rsidR="00704FA1" w:rsidRPr="00704FA1" w:rsidRDefault="00592E16" w:rsidP="00704FA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</w:t>
      </w:r>
      <w:r w:rsidR="00704FA1" w:rsidRPr="00704F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Раздел 04   «Национальная экономика»</w:t>
      </w:r>
    </w:p>
    <w:p w:rsidR="00704FA1" w:rsidRPr="00704FA1" w:rsidRDefault="00704FA1" w:rsidP="00704FA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</w:t>
      </w:r>
    </w:p>
    <w:p w:rsidR="00704FA1" w:rsidRPr="00704FA1" w:rsidRDefault="00704FA1" w:rsidP="00704FA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</w:t>
      </w:r>
      <w:r w:rsidRPr="00704FA1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Раздел представлен:</w:t>
      </w:r>
    </w:p>
    <w:p w:rsidR="00704FA1" w:rsidRPr="00704FA1" w:rsidRDefault="00704FA1" w:rsidP="00704FA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-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подразделом 09 </w:t>
      </w:r>
      <w:r w:rsidRPr="0070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«Дорожное хозяйство»,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объемом расходов в сумме 9591,89098тыс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 включает расходы на реализацию муниципальных программ МО Тепло-Огаревский район  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«Благоустройство территории рабочего поселка Теплое на 2022-2030годы» и «Модернизация и развитие сети муниципальных автомобильных дорог общего пользования  на 2022-2030годы», и непрограммными расходами за счет резервного фонда Тульской области на реализацию мероприятий по очистке дорог от снега в зимний период.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-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подразделом 12 </w:t>
      </w:r>
      <w:r w:rsidRPr="0070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«Другие вопросы в области национальной экономики»,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объемом расходов в сумме 63,0тыс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и включает расходы на реализацию муниципальных программ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Тепло-Огаревский район  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>«Обеспечение качественным жильем и услугами ЖКХ населения на 2022-2030годы» и «Управление муниципальным имуществом и земельными ресурсами на 2022-2030годы».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             </w:t>
      </w: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Сравнительная характеристика исполнения бюджета по данному разделу в 2022году по отношению к предыдущему 2021году приведена в Таблице 5.                                                                                                                                                    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Таблица 5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</w:t>
      </w:r>
      <w:proofErr w:type="gram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ублей</w:t>
      </w:r>
      <w:proofErr w:type="spell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700"/>
        <w:gridCol w:w="1084"/>
        <w:gridCol w:w="1076"/>
        <w:gridCol w:w="1080"/>
        <w:gridCol w:w="1676"/>
        <w:gridCol w:w="1024"/>
        <w:gridCol w:w="1440"/>
        <w:gridCol w:w="1980"/>
      </w:tblGrid>
      <w:tr w:rsidR="00704FA1" w:rsidRPr="00704FA1" w:rsidTr="00F035A7">
        <w:trPr>
          <w:trHeight w:val="34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Исполнено </w:t>
            </w:r>
          </w:p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2021 год</w:t>
            </w: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2022год</w:t>
            </w:r>
          </w:p>
        </w:tc>
      </w:tr>
      <w:tr w:rsidR="00704FA1" w:rsidRPr="00704FA1" w:rsidTr="00F035A7">
        <w:trPr>
          <w:cantSplit/>
          <w:trHeight w:val="114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24.12.2021 №35-1</w:t>
            </w:r>
          </w:p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2022год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2021году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28.12.2022 №45-2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 2022год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2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704FA1" w:rsidRPr="00704FA1" w:rsidTr="00F035A7">
        <w:trPr>
          <w:trHeight w:val="2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 по разделу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8950,26147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9315,9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9654,97196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9654,89098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107,9</w:t>
            </w:r>
          </w:p>
        </w:tc>
      </w:tr>
      <w:tr w:rsidR="00704FA1" w:rsidRPr="00704FA1" w:rsidTr="00F035A7">
        <w:trPr>
          <w:trHeight w:val="5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proofErr w:type="gramEnd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4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8406,51747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8215,9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9591,97196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9591,89098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114,1</w:t>
            </w:r>
          </w:p>
        </w:tc>
      </w:tr>
      <w:tr w:rsidR="00704FA1" w:rsidRPr="00704FA1" w:rsidTr="00F035A7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543,744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1106</w:t>
            </w:r>
          </w:p>
        </w:tc>
      </w:tr>
    </w:tbl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</w:t>
      </w:r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Бюджетные ассигнования в 2022году (решение представительного органа от 28.12.2022 №45-2)  в сравнении с первоначально утвержденным бюджетом (решение представительного органа от 24.12.2021 №35-1) увеличились  на 3,0%.       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 к первоначальным назначениям составило 103,6%, к уточненным -100,0%.</w:t>
      </w:r>
      <w:proofErr w:type="gramEnd"/>
    </w:p>
    <w:p w:rsidR="00704FA1" w:rsidRPr="00704FA1" w:rsidRDefault="00704FA1" w:rsidP="00704FA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</w:t>
      </w:r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704FA1" w:rsidRPr="00704FA1" w:rsidRDefault="00592E16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704FA1" w:rsidRPr="00704F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04FA1" w:rsidRPr="00704F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Раздел  05   «Жилищно - коммунальное хозяйство»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Сравнительная характеристика исполнения бюджета  в 2022году по отношению к предыдущему 2021году по разделу приведена в Таблице 6</w:t>
      </w: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Таблица 6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</w:t>
      </w:r>
      <w:proofErr w:type="spell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</w:t>
      </w:r>
      <w:proofErr w:type="gram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ублей</w:t>
      </w:r>
      <w:proofErr w:type="spell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720"/>
        <w:gridCol w:w="1676"/>
        <w:gridCol w:w="1024"/>
        <w:gridCol w:w="1440"/>
        <w:gridCol w:w="1080"/>
      </w:tblGrid>
      <w:tr w:rsidR="00704FA1" w:rsidRPr="00704FA1" w:rsidTr="00F035A7">
        <w:trPr>
          <w:trHeight w:val="34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Исполнено </w:t>
            </w:r>
          </w:p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2021год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год</w:t>
            </w:r>
          </w:p>
        </w:tc>
      </w:tr>
      <w:tr w:rsidR="00704FA1" w:rsidRPr="00704FA1" w:rsidTr="00F035A7">
        <w:trPr>
          <w:cantSplit/>
          <w:trHeight w:val="1092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24.12.2021 №35-1</w:t>
            </w:r>
          </w:p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2022год</w:t>
            </w:r>
            <w:r w:rsidRPr="00704FA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28.12.2022 №45-2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 2022год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 году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2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704FA1" w:rsidRPr="00704FA1" w:rsidTr="00F035A7">
        <w:trPr>
          <w:trHeight w:val="2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 по разделу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20193,46385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19298,75428</w:t>
            </w:r>
          </w:p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95,6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20633,09528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20630,03617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102,2</w:t>
            </w:r>
          </w:p>
        </w:tc>
      </w:tr>
      <w:tr w:rsidR="00704FA1" w:rsidRPr="00704FA1" w:rsidTr="00F035A7">
        <w:trPr>
          <w:trHeight w:val="5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proofErr w:type="gramEnd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1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2573,69645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1823,258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1039,3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1039,06061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40,4</w:t>
            </w:r>
          </w:p>
        </w:tc>
      </w:tr>
      <w:tr w:rsidR="00704FA1" w:rsidRPr="00704FA1" w:rsidTr="00F035A7">
        <w:trPr>
          <w:trHeight w:val="1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1578,80354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126,43395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</w:t>
            </w:r>
          </w:p>
        </w:tc>
      </w:tr>
      <w:tr w:rsidR="00704FA1" w:rsidRPr="00704FA1" w:rsidTr="00F035A7">
        <w:trPr>
          <w:trHeight w:val="2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10429,63115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11372,99628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13654,19528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13651,80911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130,9</w:t>
            </w:r>
          </w:p>
        </w:tc>
      </w:tr>
      <w:tr w:rsidR="00704FA1" w:rsidRPr="00704FA1" w:rsidTr="00F035A7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5611,33271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5290,5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5813,1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5812,7425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103,6</w:t>
            </w:r>
          </w:p>
        </w:tc>
      </w:tr>
    </w:tbl>
    <w:p w:rsidR="00704FA1" w:rsidRPr="00704FA1" w:rsidRDefault="00704FA1" w:rsidP="00704FA1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704FA1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          </w:t>
      </w:r>
    </w:p>
    <w:p w:rsidR="00704FA1" w:rsidRPr="00704FA1" w:rsidRDefault="00704FA1" w:rsidP="00704FA1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704FA1" w:rsidRPr="00704FA1" w:rsidRDefault="00C13853" w:rsidP="00704FA1">
      <w:pPr>
        <w:tabs>
          <w:tab w:val="center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04FA1"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 представлен: </w:t>
      </w:r>
    </w:p>
    <w:p w:rsidR="00704FA1" w:rsidRPr="00704FA1" w:rsidRDefault="00704FA1" w:rsidP="00704FA1">
      <w:pPr>
        <w:tabs>
          <w:tab w:val="center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A1" w:rsidRPr="00704FA1" w:rsidRDefault="00704FA1" w:rsidP="00704FA1">
      <w:pPr>
        <w:spacing w:after="0" w:line="240" w:lineRule="atLeast"/>
        <w:ind w:left="-17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-подразделом  01</w:t>
      </w:r>
      <w:r w:rsidRPr="0070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70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объемом  расходов  в сумме 1039,06061рублей и включает</w:t>
      </w:r>
      <w:r w:rsidRPr="00704F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наряду с непрограммными расходами, расходы на реализацию муниципальной программы МО Тепло-Огаревский район «Обеспечение качественным жильем и услугами ЖКХ населения на 2022-2030годы»;</w:t>
      </w:r>
    </w:p>
    <w:p w:rsidR="00704FA1" w:rsidRPr="00704FA1" w:rsidRDefault="00704FA1" w:rsidP="00704FA1">
      <w:pPr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704F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подразделом 02</w:t>
      </w:r>
      <w:r w:rsidRPr="00704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"Коммунальное хозяйство",</w:t>
      </w: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объемом расходов 126,43395тыс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 и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расходы на реализацию муниципальной программы МО Тепло-Огаревский район «Энергосбережение и повышение энергетической эффективности 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2022-2030годы»; </w:t>
      </w:r>
    </w:p>
    <w:p w:rsidR="00704FA1" w:rsidRPr="00704FA1" w:rsidRDefault="00704FA1" w:rsidP="00704FA1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-подразделом 03</w:t>
      </w:r>
      <w:r w:rsidRPr="0070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«Благоустройство»,</w:t>
      </w:r>
      <w:r w:rsidRPr="0070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объемом  расходов  в сумме 13651,80911тыс. рублей и включает расходы  на реализацию программных   мероприятий в рамках муниципальной программы МО Тепло-Огаревский район «Благоустройство территории рабочего поселка Теплое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2022-2030годы»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4F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непрограммные расходы в рамках реализации проекта «Народный бюджет»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; </w:t>
      </w:r>
    </w:p>
    <w:p w:rsidR="00704FA1" w:rsidRPr="00704FA1" w:rsidRDefault="00704FA1" w:rsidP="00704FA1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-подразделом 03</w:t>
      </w:r>
      <w:r w:rsidRPr="00704F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«Другие вопросы в области жилищно-коммунального хозяйства»</w:t>
      </w:r>
      <w:r w:rsidRPr="00704F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объемом  расходов  в сумме </w:t>
      </w:r>
      <w:r w:rsidRPr="00704FA1">
        <w:rPr>
          <w:rFonts w:ascii="Times New Roman" w:eastAsia="Times New Roman" w:hAnsi="Times New Roman" w:cs="Arial"/>
          <w:color w:val="000000"/>
          <w:sz w:val="28"/>
          <w:szCs w:val="18"/>
          <w:lang w:eastAsia="ru-RU"/>
        </w:rPr>
        <w:t>5812,74250</w:t>
      </w:r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 и включает основные мероприятия по содержанию МКУ «Специализированная служба» в рамках муниципальной программы МО Тепло-Огаревский район </w:t>
      </w: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рабочего поселка Теплое </w:t>
      </w:r>
      <w:r w:rsidRPr="00704FA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2022-2030годы»</w:t>
      </w:r>
    </w:p>
    <w:p w:rsidR="00704FA1" w:rsidRPr="00704FA1" w:rsidRDefault="00704FA1" w:rsidP="00704FA1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704FA1" w:rsidRPr="00704FA1" w:rsidRDefault="00592E16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7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</w:t>
      </w:r>
      <w:r w:rsidR="00704FA1" w:rsidRPr="00704F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Раздел  10  «Социальная политика»</w:t>
      </w:r>
    </w:p>
    <w:p w:rsidR="00704FA1" w:rsidRPr="00704FA1" w:rsidRDefault="00704FA1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7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представлен: </w:t>
      </w:r>
    </w:p>
    <w:p w:rsidR="00704FA1" w:rsidRPr="00704FA1" w:rsidRDefault="00704FA1" w:rsidP="00704FA1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A1" w:rsidRPr="00704FA1" w:rsidRDefault="00704FA1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-подразделом  </w:t>
      </w:r>
      <w:r w:rsidRPr="00704FA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01 </w:t>
      </w:r>
      <w:r w:rsidRPr="00704FA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«Пенсионное обеспечение»,</w:t>
      </w: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объемом расходов в сумме 139,02144тыс</w:t>
      </w:r>
      <w:proofErr w:type="gramStart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 и включает непрограммные расходы на доплату к пенсиям муниципальным служащим. </w:t>
      </w:r>
    </w:p>
    <w:p w:rsidR="00704FA1" w:rsidRPr="00704FA1" w:rsidRDefault="00704FA1" w:rsidP="00704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Бюджетные ассигнования и произведенные расходы по разделу «Социальная политика» характеризуются следующими данными (Таблица 7)                                                                                                   </w:t>
      </w:r>
      <w:r w:rsidRPr="00704FA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</w:t>
      </w: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FA1" w:rsidRPr="00704FA1" w:rsidRDefault="00704FA1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2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04F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704FA1" w:rsidRPr="00704FA1" w:rsidRDefault="00704FA1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2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04FA1" w:rsidRPr="00704FA1" w:rsidRDefault="00704FA1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2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04FA1" w:rsidRPr="00704FA1" w:rsidRDefault="00592E16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2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 </w:t>
      </w:r>
    </w:p>
    <w:p w:rsidR="00592E16" w:rsidRDefault="00704FA1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4F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704FA1" w:rsidRPr="00704FA1" w:rsidRDefault="00592E16" w:rsidP="00704FA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704FA1" w:rsidRPr="00704FA1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7</w:t>
      </w:r>
    </w:p>
    <w:p w:rsidR="00704FA1" w:rsidRPr="00704FA1" w:rsidRDefault="00704FA1" w:rsidP="00704FA1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</w:t>
      </w:r>
      <w:proofErr w:type="gramStart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.р</w:t>
      </w:r>
      <w:proofErr w:type="gram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ублей</w:t>
      </w:r>
      <w:proofErr w:type="spellEnd"/>
      <w:r w:rsidRPr="00704FA1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20"/>
        <w:gridCol w:w="1264"/>
        <w:gridCol w:w="1076"/>
        <w:gridCol w:w="900"/>
        <w:gridCol w:w="1856"/>
        <w:gridCol w:w="1024"/>
        <w:gridCol w:w="1440"/>
        <w:gridCol w:w="1620"/>
      </w:tblGrid>
      <w:tr w:rsidR="00704FA1" w:rsidRPr="00704FA1" w:rsidTr="00F035A7">
        <w:trPr>
          <w:trHeight w:val="3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Исполнено </w:t>
            </w:r>
          </w:p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2021 год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год</w:t>
            </w:r>
          </w:p>
        </w:tc>
      </w:tr>
      <w:tr w:rsidR="00704FA1" w:rsidRPr="00704FA1" w:rsidTr="00F035A7">
        <w:trPr>
          <w:cantSplit/>
          <w:trHeight w:val="114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24.12.2021№35-1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2022год</w:t>
            </w:r>
            <w:r w:rsidRPr="00704FA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от 28.12.2022 №45-2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 2022год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% к 2021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704FA1" w:rsidRPr="00704FA1" w:rsidTr="00F035A7">
        <w:trPr>
          <w:trHeight w:val="2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 по разделу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139,002144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139,002144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100,0</w:t>
            </w:r>
          </w:p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5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proofErr w:type="gramEnd"/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04FA1" w:rsidRPr="00704FA1" w:rsidTr="00F035A7">
        <w:trPr>
          <w:trHeight w:val="4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139,002144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704FA1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13,002144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A1" w:rsidRPr="00704FA1" w:rsidRDefault="00704FA1" w:rsidP="00704FA1">
            <w:pPr>
              <w:spacing w:after="0" w:line="240" w:lineRule="auto"/>
              <w:ind w:left="-15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4F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</w:tbl>
    <w:p w:rsidR="00C13853" w:rsidRDefault="00704FA1" w:rsidP="00704FA1">
      <w:pPr>
        <w:tabs>
          <w:tab w:val="left" w:pos="720"/>
          <w:tab w:val="left" w:pos="2160"/>
        </w:tabs>
        <w:autoSpaceDN w:val="0"/>
        <w:spacing w:after="24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04FA1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textWrapping" w:clear="all"/>
      </w:r>
      <w:r w:rsidR="001D165A" w:rsidRPr="001D16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</w:t>
      </w:r>
    </w:p>
    <w:p w:rsidR="001D165A" w:rsidRPr="001D165A" w:rsidRDefault="00C13853" w:rsidP="00704FA1">
      <w:pPr>
        <w:tabs>
          <w:tab w:val="left" w:pos="720"/>
          <w:tab w:val="left" w:pos="2160"/>
        </w:tabs>
        <w:autoSpaceDN w:val="0"/>
        <w:spacing w:after="240" w:line="240" w:lineRule="atLeast"/>
        <w:ind w:left="-170" w:right="-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</w:t>
      </w:r>
      <w:r w:rsidR="001D165A" w:rsidRPr="001D16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</w:t>
      </w:r>
      <w:proofErr w:type="gramStart"/>
      <w:r w:rsidR="001D165A" w:rsidRPr="001D16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Бюджетная отчетность администрации муниципального образования Тепло-Огаревский </w:t>
      </w:r>
      <w:r w:rsidR="00704F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район составлена </w:t>
      </w:r>
      <w:r w:rsidR="001F23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соответствии с</w:t>
      </w:r>
      <w:r w:rsidR="001F23B3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требованиями</w:t>
      </w:r>
      <w:r w:rsidR="001D165A" w:rsidRPr="00704FA1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2010г.N 191н</w:t>
      </w:r>
      <w:r w:rsidR="001D165A" w:rsidRPr="001D16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(далее - инструкция № 191н), сброш</w:t>
      </w:r>
      <w:r w:rsidR="001F23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юрована, </w:t>
      </w:r>
      <w:r w:rsidR="00704F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пронумерована, </w:t>
      </w:r>
      <w:r w:rsidR="00DD51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имеет</w:t>
      </w:r>
      <w:r w:rsidR="001F23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04F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1D165A" w:rsidRPr="001D165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одписи  </w:t>
      </w:r>
      <w:r w:rsidR="00704F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лиц, ответственных за составление и предста</w:t>
      </w:r>
      <w:r w:rsidR="001F23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вление годовой бюджетной</w:t>
      </w:r>
      <w:r w:rsidR="004745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отчетности</w:t>
      </w:r>
      <w:r w:rsidR="00704F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proofErr w:type="gramEnd"/>
    </w:p>
    <w:p w:rsidR="001D165A" w:rsidRPr="001D165A" w:rsidRDefault="001D165A" w:rsidP="001D16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п.9. Инструкции № 191н, бюджетная отчетность  составлена нарастающим итогом с начала года в рублях с точностью до второго деся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            Пояснительная записка (ф.0</w:t>
      </w:r>
      <w:r w:rsidR="00704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503160) оформлена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4FA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с </w:t>
      </w:r>
      <w:r w:rsidR="00704FA1" w:rsidRPr="00704FA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нарушением требований</w:t>
      </w:r>
      <w:r w:rsidRPr="00704FA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 п.п.11.1 Инструкции №191н</w:t>
      </w:r>
      <w:r w:rsidR="00704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содержит</w:t>
      </w:r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: 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-«табличные» формы: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направлениях деятельности (таблица №1);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исполнении текстовых статей закона о бюджете (таблица № 3</w:t>
      </w:r>
      <w:r w:rsidR="00704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заполнены гр.2 и 3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особенностях ведения бюджетного учета  (таблица № 4);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-сведения о результатах мероприятий внутреннего контроля (таблица № 5);  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проведении инвентаризации (таблица № 6);</w:t>
      </w:r>
      <w:r w:rsidR="009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результатах внешних контрольных мероприятий (таблица № 7);</w:t>
      </w:r>
    </w:p>
    <w:p w:rsidR="00704FA1" w:rsidRDefault="00704FA1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A1" w:rsidRPr="001D165A" w:rsidRDefault="00704FA1" w:rsidP="001D165A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D165A" w:rsidRPr="001D165A" w:rsidRDefault="001D165A" w:rsidP="001D165A">
      <w:pPr>
        <w:widowControl w:val="0"/>
        <w:shd w:val="clear" w:color="auto" w:fill="FFFFFF"/>
        <w:tabs>
          <w:tab w:val="left" w:pos="720"/>
          <w:tab w:val="left" w:pos="893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-формы-приложения: </w:t>
      </w:r>
    </w:p>
    <w:p w:rsidR="001D165A" w:rsidRPr="001D165A" w:rsidRDefault="001D165A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количестве подведомственных  получателей бюджетных средств (ф. 0503161);</w:t>
      </w:r>
    </w:p>
    <w:p w:rsidR="001D165A" w:rsidRPr="001D165A" w:rsidRDefault="001D165A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результатах деятельности (ф. 0503162);</w:t>
      </w:r>
    </w:p>
    <w:p w:rsidR="001D165A" w:rsidRPr="001D165A" w:rsidRDefault="009D14CC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исполнении бюджета (ф. 0503164);</w:t>
      </w:r>
    </w:p>
    <w:p w:rsidR="001D165A" w:rsidRPr="001D165A" w:rsidRDefault="001D165A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исполнении мероприятий в рамках целевых программ (ф. 0503166);</w:t>
      </w:r>
    </w:p>
    <w:p w:rsidR="001D165A" w:rsidRPr="001D165A" w:rsidRDefault="001D165A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движении нефинансовых активов (ф. 0503168);</w:t>
      </w:r>
    </w:p>
    <w:p w:rsidR="001D165A" w:rsidRDefault="001D165A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по дебиторской и кредиторской задолженности (ф. 0503169);</w:t>
      </w:r>
    </w:p>
    <w:p w:rsidR="009D14CC" w:rsidRPr="001D165A" w:rsidRDefault="009D14CC" w:rsidP="001D165A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7E37BE" w:rsidRDefault="001D165A" w:rsidP="007E37BE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об изменении остат</w:t>
      </w:r>
      <w:r w:rsidR="007E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валюты баланса (ф. 0503173).</w:t>
      </w:r>
    </w:p>
    <w:p w:rsidR="001D165A" w:rsidRPr="007E37BE" w:rsidRDefault="007E37BE" w:rsidP="007E37BE">
      <w:pPr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</w:t>
      </w:r>
      <w:r w:rsidR="00A5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 (ф. 0503127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содержит данные об исполнении бюджета ГРБС по расходам и источникам финансирования дефицита бюджета в соответствии с бюджетной классификацией РФ. Отчет составлен на основании данных по исполнению бюджета подведомственных получателей бюджетных средств, в рамках осуществляемой ими бюджетной деятельности.</w:t>
      </w:r>
    </w:p>
    <w:p w:rsidR="009D14CC" w:rsidRPr="009D14CC" w:rsidRDefault="001D165A" w:rsidP="009D14CC">
      <w:pPr>
        <w:tabs>
          <w:tab w:val="left" w:pos="72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бюджетной отчетности исполнение по расхо</w:t>
      </w:r>
      <w:r w:rsidR="00A57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за 2</w:t>
      </w:r>
      <w:r w:rsidR="00DD5173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A5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составило </w:t>
      </w:r>
      <w:r w:rsidR="009D14CC" w:rsidRPr="009D14CC">
        <w:rPr>
          <w:rFonts w:ascii="Times New Roman" w:eastAsia="Times New Roman" w:hAnsi="Times New Roman" w:cs="Times New Roman"/>
          <w:sz w:val="28"/>
          <w:szCs w:val="24"/>
          <w:lang w:eastAsia="ru-RU"/>
        </w:rPr>
        <w:t>30587,27184тыс</w:t>
      </w:r>
      <w:proofErr w:type="gramStart"/>
      <w:r w:rsidR="009D14CC" w:rsidRPr="009D14CC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9D14CC" w:rsidRPr="009D1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 или на 99,99% к уточненным бюджетным назначениям (в редакции решения представительного органа от 28.12.2022 №45-2), к 2021году исполнение составило 103,7%. </w:t>
      </w: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4C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По разделам «Общегосударственные вопросы» исполнение составило-99,95%,  и «Социальная политика»- 99,94%, по разделам жизнеобеспечения «Национальная экономика» и  «Жилищно-коммунальное хозяйство», расходы за 2022год  исполнены на 100,0% и 99,99%. </w:t>
      </w: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Структура расходов бюджета наглядно представлена на диаграмме:</w:t>
      </w: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B7C0DF" wp14:editId="296F10B1">
            <wp:simplePos x="0" y="0"/>
            <wp:positionH relativeFrom="column">
              <wp:posOffset>1091565</wp:posOffset>
            </wp:positionH>
            <wp:positionV relativeFrom="paragraph">
              <wp:posOffset>99060</wp:posOffset>
            </wp:positionV>
            <wp:extent cx="7001510" cy="4664075"/>
            <wp:effectExtent l="0" t="0" r="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4CC" w:rsidRPr="009D14CC" w:rsidRDefault="009D14CC" w:rsidP="009D14CC">
      <w:pPr>
        <w:tabs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7BE" w:rsidRPr="001D165A" w:rsidRDefault="009D14CC" w:rsidP="007E37BE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7BE" w:rsidRDefault="007E37BE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E37BE" w:rsidRDefault="007E37BE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92E6F" w:rsidRDefault="00592E16" w:rsidP="00E92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592E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Представленный Баланс главного распорядителя, распорядителя,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</w:t>
      </w:r>
      <w:proofErr w:type="gramStart"/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далее- Баланс ГРБС)(ф. 0503130) </w:t>
      </w:r>
      <w:r w:rsidR="001D165A" w:rsidRPr="001D16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сформирован в р</w:t>
      </w:r>
      <w:r w:rsidR="001D165A"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азрезе бюджетной  деятельности. 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путем сопоставления остатков баланса на конец предшествующего проверяемому периоду и на начало отчетного периода,</w:t>
      </w:r>
      <w:r w:rsidR="001D165A"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расхождений не установлено.            Показатели Баланса ГРБС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0503130) соответствуют показателям формы</w:t>
      </w:r>
      <w:r w:rsidR="001D165A"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0503168 «Сведения о движении нефинансовых активов».</w:t>
      </w:r>
      <w:r w:rsidR="001D165A" w:rsidRPr="001D1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Сведения по дебиторской и кредиторской задолженности (ф. 0503169) соответствуют разделам «Финансовые активы» и «Обязательства» </w:t>
      </w:r>
      <w:r w:rsidR="001D165A"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Баланса ГРБС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0503130). </w:t>
      </w:r>
      <w:r w:rsidR="001D165A"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1D165A" w:rsidRPr="001D165A" w:rsidRDefault="001D165A" w:rsidP="001D16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 </w:t>
      </w:r>
      <w:r w:rsidR="00E92E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Исходя из данных Баланса ГРБ</w:t>
      </w:r>
      <w:proofErr w:type="gramStart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С(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ф.0503130) установлено, что кредиторская задолженность по  состоянию на</w:t>
      </w:r>
      <w:r w:rsidR="00D25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01.01.2023</w:t>
      </w:r>
      <w:r w:rsidR="00E92E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года составила 124</w:t>
      </w:r>
      <w:r w:rsidR="00614F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,8</w:t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Данная кредиторская задолженность образована по расчетам по принятым обяза</w:t>
      </w:r>
      <w:r w:rsidR="00D25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тельствам</w:t>
      </w:r>
      <w:r w:rsidR="00BC3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Просроченной кредиторской задолженности нет.  Дебиторская задолженн</w:t>
      </w:r>
      <w:r w:rsidR="00BC3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сть на </w:t>
      </w:r>
      <w:r w:rsidR="00D25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конец 2022</w:t>
      </w:r>
      <w:r w:rsidR="00B26D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года </w:t>
      </w:r>
      <w:r w:rsidR="00D253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 11,6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</w:t>
      </w:r>
      <w:proofErr w:type="gramStart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ублей</w:t>
      </w: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Справка  по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Согласно требованиям пунктов 92 - 99 Инструкции № 191н Отчет о финансовых результатах деятельности (ф. 0503121) сформирован путем суммирования одноименных показателей по  получателям  бюджетных средств, </w:t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включаемых в сводный отчет о финансовых результатах дея</w:t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тельности, и исключения взаимосвязанных показателей. </w:t>
      </w:r>
    </w:p>
    <w:p w:rsidR="001D165A" w:rsidRPr="001D165A" w:rsidRDefault="001D165A" w:rsidP="001D16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Отчет о принятых бюджетных обязательствах (ф. 0503128) составлен  в соответствии с 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требованиями пункта 68 -</w:t>
      </w:r>
      <w:r w:rsidRPr="001D16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74 Инструкции № 191н.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графы  10 Отчета </w:t>
      </w:r>
      <w:hyperlink r:id="rId9" w:history="1">
        <w:r w:rsidRPr="001D1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(ф.0503128)</w:t>
        </w:r>
      </w:hyperlink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показателям графы   9 Отчета </w:t>
      </w:r>
      <w:hyperlink r:id="rId10" w:history="1">
        <w:r w:rsidRPr="001D1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(ф.0503127)</w:t>
        </w:r>
      </w:hyperlink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графы 4 и 5 Отчета  </w:t>
      </w:r>
      <w:proofErr w:type="gramStart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ф.0503128) соответствуют показателям графы 4 и 5 Отчета (ф. 0503127).</w:t>
      </w:r>
    </w:p>
    <w:p w:rsidR="001D165A" w:rsidRPr="001D165A" w:rsidRDefault="001D165A" w:rsidP="001D165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</w:t>
      </w:r>
      <w:r w:rsidR="004C27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4C27B1" w:rsidRPr="004C27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Утвержденные бюджетные назначения, отраженные в отчете </w:t>
      </w:r>
      <w:r w:rsidR="004C27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 исполнении бюджета (ф. 050312</w:t>
      </w:r>
      <w:r w:rsidR="004C27B1" w:rsidRPr="004C27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7)  соответствуют уточненным плановым назначениям, утвержденным решением Собрания депутатов муниципального образования рабочий поселок Теплое Тепло-Огаревского района  от 28.12.2022   № 45-2«О внесении изменений и дополнений в решение Собрания депутатов муниципального образования рабочий поселок Теплое Тепло-Огаревского района от 24.12.2021 №35-1 «О  бюджете муниципального образования рабочий поселок Теплое Тепло-Огаревского района  на 2022год и</w:t>
      </w:r>
      <w:proofErr w:type="gramEnd"/>
      <w:r w:rsidR="004C27B1" w:rsidRPr="004C27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плановый период 2023и 2024годов»</w:t>
      </w:r>
      <w:r w:rsidR="004C27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 осуществления расходов, не предусмотренных бюджетом, или с превышением бюджетных ассигнований проведенной проверкой не установлено.</w:t>
      </w:r>
    </w:p>
    <w:p w:rsidR="001D165A" w:rsidRPr="001D165A" w:rsidRDefault="001D165A" w:rsidP="001D165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Проверкой правильности формирования форм и таблиц, входящих в состав пояснительной записки (ф.0503160) установлено следующее:</w:t>
      </w:r>
    </w:p>
    <w:p w:rsidR="00806417" w:rsidRDefault="001D165A" w:rsidP="001D165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Показатели приложения «Сведения о движении нефинансовых активов» (ф. 0503168) «Наличие на начало года» и «Наличие на конец года» соответствуют показателям Баланса ГРБС (ф.0503130) «На начало года» и «На конец отчетного периода» соответственно. Нефинансовые активы, составляющие имущество казны по «наличию на начало года» и «наличию на коне</w:t>
      </w:r>
      <w:r w:rsidR="006D06B2">
        <w:rPr>
          <w:rFonts w:ascii="Times New Roman" w:eastAsia="Times New Roman" w:hAnsi="Times New Roman" w:cs="Times New Roman"/>
          <w:sz w:val="28"/>
          <w:szCs w:val="28"/>
          <w:lang w:eastAsia="ru-RU"/>
        </w:rPr>
        <w:t>ц года» имеют  значени</w:t>
      </w:r>
      <w:r w:rsidR="00E439FD">
        <w:rPr>
          <w:rFonts w:ascii="Times New Roman" w:eastAsia="Times New Roman" w:hAnsi="Times New Roman" w:cs="Times New Roman"/>
          <w:sz w:val="28"/>
          <w:szCs w:val="28"/>
          <w:lang w:eastAsia="ru-RU"/>
        </w:rPr>
        <w:t>я 109188,3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06B2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285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109188,3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соответственно и  соответствуют показателям Баланса ГРБС (ф.0503130). </w:t>
      </w:r>
    </w:p>
    <w:p w:rsidR="003E14EB" w:rsidRDefault="00806417" w:rsidP="0080641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ст.66 Земельного Кодекса Российской Федерации, ст.15 Федерального закона от 03.07.2016 №27-ФЗ «О государственной кадастровой оценке», постановлением Правительства Тульской области от 23.03.2021 №125 «О </w:t>
      </w: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государственной кадастровой оценки земельных участков на территории Тульской области» (дале</w:t>
      </w:r>
      <w:proofErr w:type="gramStart"/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Тульской области от 23.03.2021 №125) в 2022году проведена кадастровая оценка земельных участков, учтенных в Едином государственном реестре недвижимости на территории Тульской области. Постановлением Правительства Тульской области от 16.11.2022 №719 «Об утверждении результатов определения кадастровой стоимости земельных участков на территории Тульской области» (дале</w:t>
      </w:r>
      <w:proofErr w:type="gramStart"/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Тульской области от 16.11.2022№719) утверждены результаты определения кадастровой стоимости всех земельных участков на территории Тульской об</w:t>
      </w:r>
      <w:r w:rsidR="003E14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ласти.</w:t>
      </w:r>
    </w:p>
    <w:p w:rsidR="00CB4361" w:rsidRDefault="00806417" w:rsidP="0080641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нарушение норм постановлений  Правительства Тульской области от 23.03.2021 №125 и от 16.11.2022 № 719  результаты данной переоценки не нашли своего отражения в годовой отчетности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 МО рабочий поселок Теплое</w:t>
      </w: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</w:t>
      </w:r>
      <w:proofErr w:type="gramStart"/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Огаревского  района за 2022год (</w:t>
      </w:r>
      <w:r w:rsidR="003E14EB">
        <w:rPr>
          <w:rFonts w:ascii="Times New Roman" w:eastAsia="Times New Roman" w:hAnsi="Times New Roman" w:cs="Times New Roman"/>
          <w:sz w:val="28"/>
          <w:szCs w:val="28"/>
          <w:lang w:eastAsia="ru-RU"/>
        </w:rPr>
        <w:t>ф. 0503168; ф.0503130</w:t>
      </w: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подтверждается Пояснительной запиской и отражено в  Акте  аудиторской проверки полноты и достоверности годовой бюджетной отчетности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поселок Теплое </w:t>
      </w:r>
      <w:r w:rsidRPr="008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за 2022год от 30.03.2023.</w:t>
      </w:r>
    </w:p>
    <w:p w:rsidR="001D165A" w:rsidRDefault="00CB4361" w:rsidP="0080641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имущественного положения, проведенная на основании «Сведений о движении нефинансовых активов» (ф. 0503168) показала,  что остатки на конец года осно</w:t>
      </w:r>
      <w:r w:rsidR="00E43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средств увеличились</w:t>
      </w:r>
      <w:r w:rsidR="00B5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326</w:t>
      </w:r>
      <w:r w:rsidR="00B26DC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по бюджетной деятельности  за счет движимого имущест</w:t>
      </w:r>
      <w:r w:rsidR="006D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ва. </w:t>
      </w:r>
      <w:r w:rsidR="00B54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запасы также увеличились, на сумму 37,3</w:t>
      </w:r>
      <w:r w:rsidR="001D165A"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2852A5" w:rsidRPr="001D165A" w:rsidRDefault="002852A5" w:rsidP="001D165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Выводы</w:t>
      </w:r>
      <w:r w:rsidR="00925CC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и предложения</w:t>
      </w:r>
      <w:r w:rsidRPr="001D165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:</w:t>
      </w:r>
    </w:p>
    <w:p w:rsidR="003E14EB" w:rsidRPr="001D165A" w:rsidRDefault="003E14EB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5A" w:rsidRPr="001D165A" w:rsidRDefault="001D165A" w:rsidP="001D165A">
      <w:pPr>
        <w:widowControl w:val="0"/>
        <w:tabs>
          <w:tab w:val="left" w:pos="360"/>
          <w:tab w:val="left" w:pos="900"/>
          <w:tab w:val="left" w:pos="2552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ходе внешней проверки годовой </w:t>
      </w:r>
      <w:r w:rsidRPr="001D165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бюджетной отчетности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6D0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образования рабочий поселок Теплое Тепло-Огаревского рай</w:t>
      </w:r>
      <w:r w:rsidR="00CB30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D0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proofErr w:type="gramStart"/>
      <w:r w:rsidR="006D0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proofErr w:type="gramEnd"/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муниципального образования Тепло-</w:t>
      </w:r>
      <w:r w:rsidRPr="001D1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Огаревский район установлено следующее:</w:t>
      </w:r>
    </w:p>
    <w:p w:rsidR="00410414" w:rsidRDefault="001D165A" w:rsidP="001D16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D16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1.1. Оформление годовой бюджетной отчетности</w:t>
      </w:r>
      <w:r w:rsidR="001F23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4104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1D16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№191-н. </w:t>
      </w:r>
    </w:p>
    <w:p w:rsidR="001D165A" w:rsidRPr="001D165A" w:rsidRDefault="001D165A" w:rsidP="001D16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Годовая бюджетная отчетность  составлена в соответствии с п.9. </w:t>
      </w:r>
      <w:r w:rsidRPr="001D16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Инструкции о порядке составления и представления </w:t>
      </w:r>
      <w:r w:rsidRPr="001D16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D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  <w:r w:rsidRPr="001D1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Pr="001D165A">
        <w:rPr>
          <w:rFonts w:ascii="Times New Roman" w:eastAsia="Times New Roman" w:hAnsi="Times New Roman" w:cs="Times New Roman"/>
          <w:sz w:val="28"/>
          <w:szCs w:val="28"/>
          <w:lang w:eastAsia="ru-RU"/>
        </w:rPr>
        <w:t>3.Фактов  осуществления расходов, не предусмотренных бюджетом, или с превышением бюджетных ассигнований  не установлено.</w:t>
      </w:r>
    </w:p>
    <w:p w:rsidR="00AC2CC5" w:rsidRPr="00AC2CC5" w:rsidRDefault="00AC2CC5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1.4.Б</w:t>
      </w: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юджетная отчетность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сформирована с нарушением норм постановлений  Правительства Тульской области от 23.03.2021 №125«О проведении государственной кадастровой оценки земельных участков на территории Тульской области»  и от 16.11.2022 № 719  «Об утверждении результатов определения кадастровой стоимости земельных участков на территории Тульской области». </w:t>
      </w:r>
      <w:proofErr w:type="gramEnd"/>
    </w:p>
    <w:p w:rsidR="00AC2CC5" w:rsidRDefault="00AC2CC5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проведения внешней проверки бюджетной отчетности по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 МО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Огаревский  район </w:t>
      </w: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2022год и подготовки заключения на годовой отчет об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бюджета МО рабочий поселок Теплое </w:t>
      </w: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Тепло-Огаревского района данное нарушение было устранено (материалы прилагаются).</w:t>
      </w:r>
    </w:p>
    <w:p w:rsidR="00AC2CC5" w:rsidRPr="00AC2CC5" w:rsidRDefault="00AC2CC5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CC5" w:rsidRPr="00AC2CC5" w:rsidRDefault="003E14EB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CC5"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D61" w:rsidRPr="00AB1D61">
        <w:t xml:space="preserve"> </w:t>
      </w:r>
      <w:r w:rsidR="00AB1D61" w:rsidRPr="00AB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AB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«ЦБУ МО Тепло-Огаревский район </w:t>
      </w:r>
      <w:r w:rsidR="00AC2CC5"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2CC5" w:rsidRPr="00AC2CC5" w:rsidRDefault="00AC2CC5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CC5" w:rsidRPr="00AC2CC5" w:rsidRDefault="00AC2CC5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-соблюдать требования действующего законодательства; </w:t>
      </w:r>
    </w:p>
    <w:p w:rsidR="003E14EB" w:rsidRDefault="003E14EB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CC5" w:rsidRPr="00AC2CC5" w:rsidRDefault="003E14EB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4EB">
        <w:rPr>
          <w:rFonts w:ascii="Times New Roman" w:eastAsia="Times New Roman" w:hAnsi="Times New Roman" w:cs="Times New Roman"/>
          <w:sz w:val="28"/>
          <w:szCs w:val="28"/>
          <w:lang w:eastAsia="ru-RU"/>
        </w:rPr>
        <w:t>.Администрации МО Тепло-Огаревский район:</w:t>
      </w:r>
    </w:p>
    <w:p w:rsidR="00AC2CC5" w:rsidRPr="00AC2CC5" w:rsidRDefault="00AC2CC5" w:rsidP="00AC2CC5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надлежащий контроль  при   формировании  бюджетной отчетности.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контрольно-счетной палаты </w:t>
      </w:r>
    </w:p>
    <w:p w:rsidR="001D165A" w:rsidRPr="001D165A" w:rsidRDefault="001D165A" w:rsidP="001D16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Тепло-Огаревский район                                               </w:t>
      </w:r>
      <w:r w:rsidR="008D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1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1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М.Д.Гришина</w:t>
      </w:r>
      <w:proofErr w:type="spellEnd"/>
    </w:p>
    <w:p w:rsidR="00C73B53" w:rsidRPr="00C73B53" w:rsidRDefault="00C73B53" w:rsidP="00C73B53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</w:pP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Заместитель директора</w:t>
      </w:r>
    </w:p>
    <w:p w:rsidR="00C73B53" w:rsidRPr="00C73B53" w:rsidRDefault="00C73B53" w:rsidP="00C73B53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</w:pP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МКУ «ЦБУ МО Тепло-Огаревский район</w:t>
      </w:r>
      <w:r w:rsidR="008D0E0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»</w:t>
      </w: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                     </w:t>
      </w:r>
      <w:r w:rsidR="008D0E0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                                                          </w:t>
      </w: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</w:t>
      </w:r>
      <w:proofErr w:type="spellStart"/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О.В.Никулина</w:t>
      </w:r>
      <w:proofErr w:type="spellEnd"/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 </w:t>
      </w:r>
    </w:p>
    <w:p w:rsidR="00C73B53" w:rsidRPr="00C73B53" w:rsidRDefault="00C73B53" w:rsidP="00C73B53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</w:pP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                                                  </w:t>
      </w:r>
    </w:p>
    <w:p w:rsidR="00C73B53" w:rsidRPr="00C73B53" w:rsidRDefault="00C73B53" w:rsidP="00C73B53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</w:pP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Главный бухгалтер</w:t>
      </w:r>
    </w:p>
    <w:p w:rsidR="00C73B53" w:rsidRPr="00C73B53" w:rsidRDefault="00C73B53" w:rsidP="00C73B53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</w:pP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МКУ «ЦБУ МО Тепло-Огаревский район </w:t>
      </w:r>
      <w:r w:rsidR="008D0E0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«</w:t>
      </w: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                    </w:t>
      </w:r>
      <w:r w:rsidR="008D0E0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                                                               </w:t>
      </w:r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</w:t>
      </w:r>
      <w:proofErr w:type="spellStart"/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Е.Н.Диденко</w:t>
      </w:r>
      <w:proofErr w:type="spellEnd"/>
      <w:r w:rsidRPr="00C73B53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     </w:t>
      </w:r>
    </w:p>
    <w:p w:rsidR="001D165A" w:rsidRPr="001D165A" w:rsidRDefault="001D165A" w:rsidP="001D165A">
      <w:pPr>
        <w:widowControl w:val="0"/>
        <w:autoSpaceDE w:val="0"/>
        <w:autoSpaceDN w:val="0"/>
        <w:adjustRightInd w:val="0"/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58E3" w:rsidRPr="007858E3" w:rsidRDefault="007858E3" w:rsidP="007858E3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8E3" w:rsidRPr="007858E3" w:rsidRDefault="007858E3" w:rsidP="007858E3">
      <w:pPr>
        <w:tabs>
          <w:tab w:val="center" w:pos="720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5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sectPr w:rsidR="007858E3" w:rsidRPr="007858E3" w:rsidSect="00592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67" w:rsidRDefault="00F16E67" w:rsidP="00C13853">
      <w:pPr>
        <w:spacing w:after="0" w:line="240" w:lineRule="auto"/>
      </w:pPr>
      <w:r>
        <w:separator/>
      </w:r>
    </w:p>
  </w:endnote>
  <w:endnote w:type="continuationSeparator" w:id="0">
    <w:p w:rsidR="00F16E67" w:rsidRDefault="00F16E67" w:rsidP="00C1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67" w:rsidRDefault="00F16E67" w:rsidP="00C13853">
      <w:pPr>
        <w:spacing w:after="0" w:line="240" w:lineRule="auto"/>
      </w:pPr>
      <w:r>
        <w:separator/>
      </w:r>
    </w:p>
  </w:footnote>
  <w:footnote w:type="continuationSeparator" w:id="0">
    <w:p w:rsidR="00F16E67" w:rsidRDefault="00F16E67" w:rsidP="00C13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76"/>
    <w:rsid w:val="001D165A"/>
    <w:rsid w:val="001F23B3"/>
    <w:rsid w:val="00221611"/>
    <w:rsid w:val="00254363"/>
    <w:rsid w:val="002852A5"/>
    <w:rsid w:val="002E541E"/>
    <w:rsid w:val="00316C7A"/>
    <w:rsid w:val="00353E7D"/>
    <w:rsid w:val="003A1DD3"/>
    <w:rsid w:val="003C3D2C"/>
    <w:rsid w:val="003E14EB"/>
    <w:rsid w:val="00410414"/>
    <w:rsid w:val="004321D1"/>
    <w:rsid w:val="00463DD2"/>
    <w:rsid w:val="004745FA"/>
    <w:rsid w:val="004B3C52"/>
    <w:rsid w:val="004C27B1"/>
    <w:rsid w:val="005402F5"/>
    <w:rsid w:val="00592E16"/>
    <w:rsid w:val="005D303B"/>
    <w:rsid w:val="00614F95"/>
    <w:rsid w:val="00681FB6"/>
    <w:rsid w:val="006A0DC8"/>
    <w:rsid w:val="006D06B2"/>
    <w:rsid w:val="00704FA1"/>
    <w:rsid w:val="00706B6F"/>
    <w:rsid w:val="00745A4A"/>
    <w:rsid w:val="007858E3"/>
    <w:rsid w:val="007E37BE"/>
    <w:rsid w:val="0080637B"/>
    <w:rsid w:val="00806417"/>
    <w:rsid w:val="00810723"/>
    <w:rsid w:val="00823AFE"/>
    <w:rsid w:val="00845176"/>
    <w:rsid w:val="008D0E0E"/>
    <w:rsid w:val="00925CC3"/>
    <w:rsid w:val="0096141A"/>
    <w:rsid w:val="0099406C"/>
    <w:rsid w:val="009B2F21"/>
    <w:rsid w:val="009D14CC"/>
    <w:rsid w:val="00A57514"/>
    <w:rsid w:val="00AB1D61"/>
    <w:rsid w:val="00AC2CC5"/>
    <w:rsid w:val="00AC2D87"/>
    <w:rsid w:val="00B26DC0"/>
    <w:rsid w:val="00B54036"/>
    <w:rsid w:val="00BA1D79"/>
    <w:rsid w:val="00BC3688"/>
    <w:rsid w:val="00BE2DCD"/>
    <w:rsid w:val="00C13853"/>
    <w:rsid w:val="00C51663"/>
    <w:rsid w:val="00C73B53"/>
    <w:rsid w:val="00C92705"/>
    <w:rsid w:val="00CB3019"/>
    <w:rsid w:val="00CB4361"/>
    <w:rsid w:val="00D25303"/>
    <w:rsid w:val="00D7187E"/>
    <w:rsid w:val="00DD5173"/>
    <w:rsid w:val="00E439FD"/>
    <w:rsid w:val="00E704CE"/>
    <w:rsid w:val="00E92E6F"/>
    <w:rsid w:val="00F16E67"/>
    <w:rsid w:val="00F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853"/>
  </w:style>
  <w:style w:type="paragraph" w:styleId="a5">
    <w:name w:val="footer"/>
    <w:basedOn w:val="a"/>
    <w:link w:val="a6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853"/>
  </w:style>
  <w:style w:type="paragraph" w:styleId="a7">
    <w:name w:val="Balloon Text"/>
    <w:basedOn w:val="a"/>
    <w:link w:val="a8"/>
    <w:uiPriority w:val="99"/>
    <w:semiHidden/>
    <w:unhideWhenUsed/>
    <w:rsid w:val="0047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853"/>
  </w:style>
  <w:style w:type="paragraph" w:styleId="a5">
    <w:name w:val="footer"/>
    <w:basedOn w:val="a"/>
    <w:link w:val="a6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853"/>
  </w:style>
  <w:style w:type="paragraph" w:styleId="a7">
    <w:name w:val="Balloon Text"/>
    <w:basedOn w:val="a"/>
    <w:link w:val="a8"/>
    <w:uiPriority w:val="99"/>
    <w:semiHidden/>
    <w:unhideWhenUsed/>
    <w:rsid w:val="0047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9783;fld=134;dst=1024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246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30939226519337"/>
          <c:y val="0.3444676409185804"/>
          <c:w val="0.52071823204419887"/>
          <c:h val="0.3131524008350730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Национальная экономика</c:v>
                </c:pt>
                <c:pt idx="1">
                  <c:v>Общегос.вопросы</c:v>
                </c:pt>
                <c:pt idx="2">
                  <c:v>ЖКХ</c:v>
                </c:pt>
                <c:pt idx="3">
                  <c:v>Соц.политика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31.6</c:v>
                </c:pt>
                <c:pt idx="1">
                  <c:v>0.5</c:v>
                </c:pt>
                <c:pt idx="2">
                  <c:v>67.400000000000006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2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Национальная экономика</c:v>
                </c:pt>
                <c:pt idx="1">
                  <c:v>Общегос.вопросы</c:v>
                </c:pt>
                <c:pt idx="2">
                  <c:v>ЖКХ</c:v>
                </c:pt>
                <c:pt idx="3">
                  <c:v>Соц.политика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21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Национальная экономика</c:v>
                </c:pt>
                <c:pt idx="1">
                  <c:v>Общегос.вопросы</c:v>
                </c:pt>
                <c:pt idx="2">
                  <c:v>ЖКХ</c:v>
                </c:pt>
                <c:pt idx="3">
                  <c:v>Соц.политика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17">
          <a:solidFill>
            <a:srgbClr val="808080"/>
          </a:solidFill>
          <a:prstDash val="solid"/>
        </a:ln>
      </c:spPr>
    </c:plotArea>
    <c:legend>
      <c:legendPos val="t"/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80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1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83AE-B7FD-4066-AF2B-6FABE252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13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2023-09-19T07:26:00Z</cp:lastPrinted>
  <dcterms:created xsi:type="dcterms:W3CDTF">2019-07-05T07:25:00Z</dcterms:created>
  <dcterms:modified xsi:type="dcterms:W3CDTF">2023-09-25T08:36:00Z</dcterms:modified>
</cp:coreProperties>
</file>